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EC" w:rsidRPr="00CF4BEC" w:rsidRDefault="00CF4BEC" w:rsidP="00CF4BEC">
      <w:pPr>
        <w:pBdr>
          <w:bottom w:val="single" w:sz="6" w:space="4" w:color="CDCDCD"/>
        </w:pBdr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color w:val="434242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434242"/>
          <w:sz w:val="28"/>
          <w:szCs w:val="28"/>
          <w:lang w:eastAsia="ru-RU"/>
        </w:rPr>
        <w:t xml:space="preserve">                    </w:t>
      </w:r>
      <w:r w:rsidRPr="00CF4BEC">
        <w:rPr>
          <w:rFonts w:ascii="Arial" w:eastAsia="Times New Roman" w:hAnsi="Arial" w:cs="Arial"/>
          <w:b/>
          <w:color w:val="434242"/>
          <w:sz w:val="28"/>
          <w:szCs w:val="28"/>
          <w:lang w:eastAsia="ru-RU"/>
        </w:rPr>
        <w:t>Трудовой Кодекс для членов профсоюза</w:t>
      </w:r>
    </w:p>
    <w:p w:rsidR="00CF4BEC" w:rsidRDefault="00CF4BEC" w:rsidP="00CF4BE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  <w:bdr w:val="none" w:sz="0" w:space="0" w:color="auto" w:frame="1"/>
          <w:lang w:eastAsia="ru-RU"/>
        </w:rPr>
      </w:pPr>
    </w:p>
    <w:p w:rsidR="00CF4BEC" w:rsidRPr="00CF4BEC" w:rsidRDefault="00CF4BEC" w:rsidP="00CF4BE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  <w:bdr w:val="none" w:sz="0" w:space="0" w:color="auto" w:frame="1"/>
          <w:lang w:eastAsia="ru-RU"/>
        </w:rPr>
        <w:t>Трудовой кодекс РФ обязывает  работодателя учитывать мнение профсоюзной организации (</w:t>
      </w:r>
      <w:proofErr w:type="spellStart"/>
      <w:r w:rsidRPr="00CF4BEC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  <w:bdr w:val="none" w:sz="0" w:space="0" w:color="auto" w:frame="1"/>
          <w:lang w:eastAsia="ru-RU"/>
        </w:rPr>
        <w:t>ст.ст</w:t>
      </w:r>
      <w:proofErr w:type="spellEnd"/>
      <w:r w:rsidRPr="00CF4BEC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  <w:bdr w:val="none" w:sz="0" w:space="0" w:color="auto" w:frame="1"/>
          <w:lang w:eastAsia="ru-RU"/>
        </w:rPr>
        <w:t>. 371, 372, 373). Напомним, в каких случаях работодатель принимает решения с учетом мнения соответствующего профсоюзного органа: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введения режима неполного рабочего времени на срок до шести месяцев и его отмены (ч. 5,6 ст. 74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привлечения работников к сверхурочным работам в случаях, не предусмотренных ч. 2 ст. 99 ТК РФ (ч. 3 ст. 99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определения перечня должностей работников с ненормированным рабочим днем (ст.101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разделения рабочего дня на части с тем, чтобы общая продолжительность рабочего времени не превышала установленной продолжительности ежедневной работы (ч. 3 ст. 105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определения порядка и условий выплаты работникам (за исключением работников, получающих оклад или должностной оклад) дополнительного вознаграждения за нерабочие праздничные дни, в которые они привлекались к работе (ст. 112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привлечения работников к работам в выходные и нерабочие праздничные дни в случаях, не предусмотренных </w:t>
      </w:r>
      <w:proofErr w:type="gramStart"/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.2. ст. 113 ТК РФ (ч. 5 ст. 113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установления дополнительных отпусков, не предусмотренных законодательством (ст. 116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определения очередности предоставления ежегодных оплачиваемых отпусков (ч. 1ст. 123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утверждения формы расчетного листка (ч. 2 ст. 136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введения системы оплаты и стимулирования труда, в том числе повышение оплаты за работу в ночное время, выходные и нерабочие праздничные дни, сверхурочную работу (ст. 135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установления различных систем премирования, стимулирующих доплат и надбавок работников государственных и муниципальных учреждений (ч. 5 ст. 144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установления конкретных размеров повышенной оплаты труда работников, занятых на тяжелых работах, работах с вредными и (или) опасными и иными особыми условиями труда, а также в ночное время (ч. 3 ст. 147, ч. 3 ст. 154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применения системы нормирования труда (ст. 159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принятия локальных нормативных актов, предусматривающих введение, замену и пересмотр норм труда (ч. 1 ст. 162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принятия необходимых мер, предотвращающих массовые увольнения работников (ч. 4 ст. 180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утверждения правил внутреннего трудового распорядка, которые, как правило, являются приложением к коллективному договору (ч. 1 ст. 190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определения форм профессиональной подготовки, переподготовки и повышения квалификации работников, утверждения перечней необходимых профессий и специальностей (ч. 3 ст. 196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разработки и утверждения правил и инструкций по охране труда для работников (ч. 2 п. 21 ст. 212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установления норм бесплатной выдачи работникам специальной одежды, специальной обуви и других средств индивидуальной защиты, улучшающих по </w:t>
      </w: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lastRenderedPageBreak/>
        <w:t>сравнению с типовым нормами защиту работников от имеющихся на рабочих местах вредных и (или) опасных факторов, а также особых температурных условий или загрязнения (ч. 2 ст. 221 ТК РФ);</w:t>
      </w:r>
      <w:proofErr w:type="gramEnd"/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утверждения порядка применения вахтового метода (ч. 4 ст. 297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увеличения  в исключительных случаях на отдельных объектах продолжительности вахты до трех месяцев (ч. 2 ст. 299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утверждения графика работы на вахте (ч. 1 ст. 301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определение размера, условий и порядок компенсации расходов на оплату стоимости проезда и провоза багажа к месту использования отпуска и обратно для лиц, работающих у других работодателей (за исключением лиц, работающих в государственных органах субъектов Российской Федерации, государственных учреждениях субъектов Российской Федерации, органах местного самоуправления и муниципальных учреждениях) (ч.8 ст.325 ТК РФ);</w:t>
      </w:r>
      <w:proofErr w:type="gramEnd"/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определение размера, условий и порядок компенсации расходов, связанных с переездом, лицам, заключившим трудовые договоры о работе у других работодателей, и работникам данных работодателей (за исключением лиц, заключившим трудовые договоры о работе в государственных органах субъектов Российской Федерации, государственных учреждениях субъектов Российской Федерации, органах местного самоуправления, муниципальных учреждениях, и работникам указанных органов) (ч. 5 ст. 326 ТК РФ);</w:t>
      </w:r>
      <w:proofErr w:type="gramEnd"/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расторжения трудового договора в соответствии с пунктами 2,3 или 5 части первой статьи 81 ТК РФ с работником, являющимся членом профсоюза (ст.373 ТК РФ);</w:t>
      </w:r>
    </w:p>
    <w:p w:rsidR="00CF4BEC" w:rsidRPr="00CF4BEC" w:rsidRDefault="00CF4BEC" w:rsidP="00CF4B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принятия локальных нормативных актов (ст.372 ТК РФ)</w:t>
      </w:r>
    </w:p>
    <w:p w:rsidR="00CF4BEC" w:rsidRPr="00CF4BEC" w:rsidRDefault="00CF4BEC" w:rsidP="00CF4BE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CF4BEC" w:rsidRPr="00CF4BEC" w:rsidRDefault="00CF4BEC" w:rsidP="00CF4BE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u w:val="single"/>
          <w:bdr w:val="none" w:sz="0" w:space="0" w:color="auto" w:frame="1"/>
          <w:lang w:eastAsia="ru-RU"/>
        </w:rPr>
        <w:t>Важный момент!</w:t>
      </w:r>
    </w:p>
    <w:p w:rsidR="00CF4BEC" w:rsidRPr="00CF4BEC" w:rsidRDefault="00CF4BEC" w:rsidP="00CF4BE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Федеральным законом от 28.06.2014 N 199-ФЗ </w:t>
      </w:r>
      <w:r w:rsidRPr="00CF4BEC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внесены изменения в статью 374 Трудового кодекса Российской Федерации</w:t>
      </w: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 которой в новой редакции предусмотрено, что увольнение в соответствии с пунктами 2 или 3 части первой статьи 81 ТК РФ с работником, являющимся руководителем (его заместителем) первичной профсоюзной организации, не освобожденной от основной работы, допускается помимо общего порядка увольнения только с предварительного согласия соответствующего вышестоящего</w:t>
      </w:r>
      <w:proofErr w:type="gramEnd"/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выборного профсоюзного органа.</w:t>
      </w:r>
    </w:p>
    <w:p w:rsidR="00CF4BEC" w:rsidRPr="00CF4BEC" w:rsidRDefault="00CF4BEC" w:rsidP="00CF4BE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Увольнение по основанию, предусмотренному пунктом 5 части первой статьи 81 ТК РФ, вышеназванных работников, допускается помимо общего порядка увольнения только с учетом мотивированного мнения соответствующего вышестоящего выборного профсоюзного органа.</w:t>
      </w:r>
    </w:p>
    <w:p w:rsidR="00CF4BEC" w:rsidRPr="00CF4BEC" w:rsidRDefault="00CF4BEC" w:rsidP="00CF4BE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CF4BEC" w:rsidRPr="00CF4BEC" w:rsidRDefault="00CF4BEC" w:rsidP="00CF4BE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Указанный перечень не является исчерпывающим. Коллективным договором или соглашением могут быть установлены иные случаи учета мнения профсоюзного органа.</w:t>
      </w:r>
    </w:p>
    <w:p w:rsidR="00CF4BEC" w:rsidRPr="00CF4BEC" w:rsidRDefault="00CF4BEC" w:rsidP="00CF4BE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Следует отметить, что если, например, коллективным договором предусмотрен порядок установления системы оплаты труда, то в таком случае учитывать мнение профсоюзного органа в соответствии с требованиями ст. 372 ТК РФ не нужно, поскольку данный вопрос уже урегулирован коллективным договором.</w:t>
      </w:r>
    </w:p>
    <w:p w:rsidR="00CF4BEC" w:rsidRPr="00CF4BEC" w:rsidRDefault="00CF4BEC" w:rsidP="00CF4BE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F4BE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AC5F59" w:rsidRDefault="00AC5F59">
      <w:pPr>
        <w:rPr>
          <w:sz w:val="24"/>
          <w:szCs w:val="24"/>
        </w:rPr>
      </w:pPr>
    </w:p>
    <w:p w:rsidR="00CF4BEC" w:rsidRDefault="00CF4BEC">
      <w:pPr>
        <w:rPr>
          <w:sz w:val="24"/>
          <w:szCs w:val="24"/>
        </w:rPr>
      </w:pPr>
    </w:p>
    <w:p w:rsidR="00C87300" w:rsidRPr="00CF4BEC" w:rsidRDefault="00C87300" w:rsidP="00C87300">
      <w:pPr>
        <w:jc w:val="both"/>
        <w:rPr>
          <w:sz w:val="36"/>
          <w:szCs w:val="36"/>
        </w:rPr>
      </w:pPr>
    </w:p>
    <w:sectPr w:rsidR="00C87300" w:rsidRPr="00CF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8E"/>
    <w:multiLevelType w:val="multilevel"/>
    <w:tmpl w:val="952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E1EE5"/>
    <w:multiLevelType w:val="multilevel"/>
    <w:tmpl w:val="D402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E7C42"/>
    <w:multiLevelType w:val="multilevel"/>
    <w:tmpl w:val="A9B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F486E"/>
    <w:multiLevelType w:val="multilevel"/>
    <w:tmpl w:val="B45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D527F"/>
    <w:multiLevelType w:val="multilevel"/>
    <w:tmpl w:val="0F407B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F3FCE"/>
    <w:multiLevelType w:val="multilevel"/>
    <w:tmpl w:val="23B0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35D2E"/>
    <w:multiLevelType w:val="multilevel"/>
    <w:tmpl w:val="C98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A06A9"/>
    <w:multiLevelType w:val="multilevel"/>
    <w:tmpl w:val="69E2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62470"/>
    <w:multiLevelType w:val="multilevel"/>
    <w:tmpl w:val="36A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F3"/>
    <w:rsid w:val="001678E5"/>
    <w:rsid w:val="00482B5A"/>
    <w:rsid w:val="00580013"/>
    <w:rsid w:val="00581EF3"/>
    <w:rsid w:val="00A2581C"/>
    <w:rsid w:val="00AC5F59"/>
    <w:rsid w:val="00C87300"/>
    <w:rsid w:val="00CF4BEC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briefdescription">
    <w:name w:val="listbriefdescription"/>
    <w:basedOn w:val="a0"/>
    <w:rsid w:val="00CF4BEC"/>
  </w:style>
  <w:style w:type="paragraph" w:styleId="a4">
    <w:name w:val="List Paragraph"/>
    <w:basedOn w:val="a"/>
    <w:uiPriority w:val="34"/>
    <w:qFormat/>
    <w:rsid w:val="00CF4B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73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briefdescription">
    <w:name w:val="listbriefdescription"/>
    <w:basedOn w:val="a0"/>
    <w:rsid w:val="00CF4BEC"/>
  </w:style>
  <w:style w:type="paragraph" w:styleId="a4">
    <w:name w:val="List Paragraph"/>
    <w:basedOn w:val="a"/>
    <w:uiPriority w:val="34"/>
    <w:qFormat/>
    <w:rsid w:val="00CF4B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73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2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1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01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D5D5D"/>
                <w:right w:val="none" w:sz="0" w:space="0" w:color="auto"/>
              </w:divBdr>
              <w:divsChild>
                <w:div w:id="779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12345</cp:lastModifiedBy>
  <cp:revision>6</cp:revision>
  <dcterms:created xsi:type="dcterms:W3CDTF">2015-11-15T10:19:00Z</dcterms:created>
  <dcterms:modified xsi:type="dcterms:W3CDTF">2015-11-16T02:37:00Z</dcterms:modified>
</cp:coreProperties>
</file>